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3B" w:rsidRDefault="00C668B5">
      <w:pPr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eastAsia="宋体" w:hAnsi="Arial" w:cs="Arial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>
            <wp:extent cx="607695" cy="759460"/>
            <wp:effectExtent l="19050" t="0" r="1890" b="0"/>
            <wp:docPr id="3" name="图片 1" descr="F:\创新工程\团队宣传栏2021\照片（果品质量安区控制技术）\庞荣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F:\创新工程\团队宣传栏2021\照片（果品质量安区控制技术）\庞荣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090" cy="76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C3B" w:rsidRDefault="00C668B5">
      <w:pPr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32"/>
          <w:szCs w:val="32"/>
        </w:rPr>
        <w:t>Pang Rongli</w:t>
      </w:r>
    </w:p>
    <w:p w:rsidR="009C7C3B" w:rsidRDefault="00C668B5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Professor</w:t>
      </w:r>
    </w:p>
    <w:p w:rsidR="009C7C3B" w:rsidRDefault="00C668B5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M.sc Supervisor</w:t>
      </w:r>
    </w:p>
    <w:p w:rsidR="009C7C3B" w:rsidRDefault="00C668B5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Research Group of Monitoring and Control Technology of Fruit Quality and Safety</w:t>
      </w:r>
      <w:r>
        <w:rPr>
          <w:rFonts w:ascii="Arial" w:hAnsi="Arial" w:cs="Arial" w:hint="eastAsia"/>
          <w:color w:val="000000"/>
          <w:sz w:val="23"/>
          <w:szCs w:val="23"/>
        </w:rPr>
        <w:t>,</w:t>
      </w:r>
      <w:r w:rsidR="00BF45B0">
        <w:rPr>
          <w:rFonts w:ascii="Arial" w:hAnsi="Arial" w:cs="Arial" w:hint="eastAsia"/>
          <w:color w:val="000000"/>
          <w:sz w:val="23"/>
          <w:szCs w:val="23"/>
        </w:rPr>
        <w:t xml:space="preserve"> </w:t>
      </w:r>
      <w:r>
        <w:rPr>
          <w:rFonts w:ascii="Arial" w:hAnsi="Arial" w:cs="Arial" w:hint="eastAsia"/>
          <w:color w:val="000000"/>
          <w:sz w:val="23"/>
          <w:szCs w:val="23"/>
        </w:rPr>
        <w:t>ZZFRI</w:t>
      </w:r>
      <w:r>
        <w:rPr>
          <w:rFonts w:ascii="Arial" w:hAnsi="Arial" w:cs="Arial"/>
          <w:color w:val="000000"/>
          <w:sz w:val="23"/>
          <w:szCs w:val="23"/>
        </w:rPr>
        <w:t>,</w:t>
      </w:r>
      <w:r w:rsidR="00BF45B0">
        <w:rPr>
          <w:rFonts w:ascii="Arial" w:hAnsi="Arial" w:cs="Arial" w:hint="eastAsia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CAAS</w:t>
      </w:r>
    </w:p>
    <w:p w:rsidR="009C7C3B" w:rsidRDefault="00C668B5" w:rsidP="00760A23">
      <w:pPr>
        <w:spacing w:beforeLines="50"/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Contact</w:t>
      </w:r>
    </w:p>
    <w:p w:rsidR="009C7C3B" w:rsidRDefault="00C668B5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Email:</w:t>
      </w:r>
      <w:r>
        <w:rPr>
          <w:rFonts w:ascii="Arial" w:hAnsi="Arial" w:cs="Arial" w:hint="eastAsia"/>
          <w:color w:val="000000"/>
          <w:sz w:val="23"/>
          <w:szCs w:val="23"/>
        </w:rPr>
        <w:t xml:space="preserve"> pangrongli@caas.cn</w:t>
      </w:r>
    </w:p>
    <w:p w:rsidR="009C7C3B" w:rsidRDefault="00C668B5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Tel:86-</w:t>
      </w:r>
      <w:r>
        <w:rPr>
          <w:rFonts w:ascii="Arial" w:hAnsi="Arial" w:cs="Arial" w:hint="eastAsia"/>
          <w:color w:val="000000"/>
          <w:sz w:val="23"/>
          <w:szCs w:val="23"/>
        </w:rPr>
        <w:t>17538719315</w:t>
      </w:r>
    </w:p>
    <w:p w:rsidR="009C7C3B" w:rsidRDefault="00C668B5">
      <w:pPr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sz w:val="23"/>
          <w:szCs w:val="23"/>
        </w:rPr>
        <w:t>Add:</w:t>
      </w:r>
      <w:r w:rsidR="006E2492">
        <w:rPr>
          <w:rFonts w:ascii="Arial" w:hAnsi="Arial" w:cs="Arial" w:hint="eastAsia"/>
          <w:color w:val="000000"/>
          <w:sz w:val="23"/>
          <w:szCs w:val="23"/>
        </w:rPr>
        <w:t xml:space="preserve"> </w:t>
      </w:r>
      <w:r w:rsidRPr="006E2492">
        <w:rPr>
          <w:rFonts w:ascii="Arial" w:hAnsi="Arial" w:cs="Arial"/>
          <w:color w:val="000000"/>
          <w:sz w:val="23"/>
          <w:szCs w:val="23"/>
        </w:rPr>
        <w:t>South end of Weilai Road, Guanchenghuizu District, Zhengzhou, China</w:t>
      </w:r>
    </w:p>
    <w:p w:rsidR="009C7C3B" w:rsidRDefault="00C668B5" w:rsidP="00760A23">
      <w:pPr>
        <w:pStyle w:val="2"/>
        <w:spacing w:beforeLines="5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Research Interests</w:t>
      </w:r>
      <w:bookmarkStart w:id="0" w:name="_GoBack"/>
      <w:bookmarkEnd w:id="0"/>
    </w:p>
    <w:p w:rsidR="009C7C3B" w:rsidRDefault="00C668B5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Fruit quality and safety control</w:t>
      </w:r>
    </w:p>
    <w:p w:rsidR="009C7C3B" w:rsidRDefault="00C668B5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Risk assessment of fruit quality and safety</w:t>
      </w:r>
    </w:p>
    <w:p w:rsidR="009C7C3B" w:rsidRDefault="00C668B5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Techniques for evaluating fruit quality</w:t>
      </w:r>
    </w:p>
    <w:p w:rsidR="009C7C3B" w:rsidRDefault="00C668B5" w:rsidP="00760A23">
      <w:pPr>
        <w:pStyle w:val="2"/>
        <w:spacing w:beforeLines="50" w:beforeAutospacing="0" w:after="0" w:afterAutospacing="0"/>
        <w:rPr>
          <w:rFonts w:ascii="Arial" w:hAnsi="Arial" w:cs="Arial"/>
          <w:i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Selected Publications</w:t>
      </w:r>
    </w:p>
    <w:p w:rsidR="009C7C3B" w:rsidRDefault="00C668B5" w:rsidP="00760A23">
      <w:pPr>
        <w:widowControl/>
        <w:shd w:val="clear" w:color="auto" w:fill="FFFFFF"/>
        <w:spacing w:beforeLines="50"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[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>1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]Risk assessment of dietary intake of pesticide residues in kiwifruit</w:t>
      </w:r>
    </w:p>
    <w:p w:rsidR="009C7C3B" w:rsidRDefault="00C668B5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Journal of Fruit Science</w:t>
      </w:r>
    </w:p>
    <w:p w:rsidR="009C7C3B" w:rsidRDefault="00C668B5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2019</w:t>
      </w:r>
      <w:r>
        <w:rPr>
          <w:rFonts w:ascii="Arial" w:hAnsi="Arial" w:cs="Arial"/>
          <w:color w:val="222222"/>
          <w:sz w:val="23"/>
          <w:szCs w:val="23"/>
        </w:rPr>
        <w:t>|Journal Article</w:t>
      </w:r>
    </w:p>
    <w:p w:rsidR="009C7C3B" w:rsidRDefault="00C668B5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DOI:10.13925/j.cnki.gsxb.20190057</w:t>
      </w:r>
    </w:p>
    <w:p w:rsidR="009C7C3B" w:rsidRDefault="00C668B5" w:rsidP="00760A23">
      <w:pPr>
        <w:widowControl/>
        <w:shd w:val="clear" w:color="auto" w:fill="FFFFFF"/>
        <w:spacing w:beforeLines="50" w:line="369" w:lineRule="atLeast"/>
        <w:jc w:val="left"/>
        <w:rPr>
          <w:rFonts w:ascii="Arial" w:eastAsia="宋体" w:hAnsi="Arial" w:cs="Arial"/>
          <w:b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[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>2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]Evaluation of the current standard for pesticide residue limits in fruits in</w:t>
      </w:r>
      <w:r w:rsidR="001D07F2"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 xml:space="preserve"> 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China</w:t>
      </w:r>
    </w:p>
    <w:p w:rsidR="009C7C3B" w:rsidRDefault="00C668B5" w:rsidP="00760A23">
      <w:pPr>
        <w:widowControl/>
        <w:shd w:val="clear" w:color="auto" w:fill="FFFFFF"/>
        <w:spacing w:beforeLines="50"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Journal of Fruit Science</w:t>
      </w:r>
    </w:p>
    <w:p w:rsidR="009C7C3B" w:rsidRDefault="00C668B5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2020</w:t>
      </w:r>
      <w:r>
        <w:rPr>
          <w:rFonts w:ascii="Arial" w:hAnsi="Arial" w:cs="Arial"/>
          <w:color w:val="222222"/>
          <w:sz w:val="23"/>
          <w:szCs w:val="23"/>
        </w:rPr>
        <w:t>|Journal Article</w:t>
      </w:r>
    </w:p>
    <w:p w:rsidR="009C7C3B" w:rsidRDefault="00C668B5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DOI:10.13925/j.cnki.gsxb.20200045</w:t>
      </w:r>
    </w:p>
    <w:p w:rsidR="009C7C3B" w:rsidRDefault="00C668B5" w:rsidP="00760A23">
      <w:pPr>
        <w:widowControl/>
        <w:shd w:val="clear" w:color="auto" w:fill="FFFFFF"/>
        <w:spacing w:beforeLines="50" w:line="369" w:lineRule="atLeast"/>
        <w:jc w:val="left"/>
        <w:rPr>
          <w:rFonts w:ascii="Arial" w:eastAsia="宋体" w:hAnsi="Arial" w:cs="Arial"/>
          <w:b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[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>3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]Heavy metal absorptive capacities of grape trees</w:t>
      </w:r>
    </w:p>
    <w:p w:rsidR="009C7C3B" w:rsidRDefault="00C668B5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 w:hint="eastAsia"/>
          <w:color w:val="222222"/>
          <w:kern w:val="0"/>
          <w:sz w:val="23"/>
          <w:szCs w:val="23"/>
        </w:rPr>
        <w:t>Journal of Arid Land Resources and Environment</w:t>
      </w:r>
    </w:p>
    <w:p w:rsidR="009C7C3B" w:rsidRDefault="00C668B5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2019</w:t>
      </w:r>
      <w:r>
        <w:rPr>
          <w:rFonts w:ascii="Arial" w:hAnsi="Arial" w:cs="Arial"/>
          <w:color w:val="222222"/>
          <w:sz w:val="23"/>
          <w:szCs w:val="23"/>
        </w:rPr>
        <w:t>|Journal Article</w:t>
      </w:r>
    </w:p>
    <w:p w:rsidR="009C7C3B" w:rsidRDefault="00C668B5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DOI:10.13448/j.cnki.jalre.2019.352</w:t>
      </w:r>
    </w:p>
    <w:p w:rsidR="009C7C3B" w:rsidRDefault="00C668B5" w:rsidP="00760A23">
      <w:pPr>
        <w:widowControl/>
        <w:shd w:val="clear" w:color="auto" w:fill="FFFFFF"/>
        <w:spacing w:beforeLines="50" w:line="369" w:lineRule="atLeast"/>
        <w:jc w:val="left"/>
      </w:pP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 xml:space="preserve">[4]Extraction 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>c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 xml:space="preserve">onditions 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>o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 xml:space="preserve">ptimization of 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>m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ain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 xml:space="preserve"> o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 xml:space="preserve">rganic 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>a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 xml:space="preserve">cids from 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>f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ruits</w:t>
      </w:r>
    </w:p>
    <w:p w:rsidR="009C7C3B" w:rsidRDefault="00C668B5">
      <w:pPr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Scientia Agricultura Sinica</w:t>
      </w:r>
    </w:p>
    <w:p w:rsidR="009C7C3B" w:rsidRDefault="00C668B5">
      <w:pPr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2014</w:t>
      </w:r>
      <w:r>
        <w:rPr>
          <w:rFonts w:ascii="Arial" w:hAnsi="Arial" w:cs="Arial"/>
          <w:color w:val="222222"/>
          <w:sz w:val="23"/>
          <w:szCs w:val="23"/>
        </w:rPr>
        <w:t>|Journal Article</w:t>
      </w:r>
    </w:p>
    <w:p w:rsidR="009C7C3B" w:rsidRDefault="00C668B5">
      <w:pPr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DOI:10.3864/j.issn.0578-1752.2014.13.014</w:t>
      </w:r>
    </w:p>
    <w:p w:rsidR="009C7C3B" w:rsidRDefault="00C668B5">
      <w:pPr>
        <w:widowControl/>
        <w:shd w:val="clear" w:color="auto" w:fill="FFFFFF"/>
        <w:wordWrap w:val="0"/>
        <w:spacing w:line="369" w:lineRule="atLeast"/>
        <w:jc w:val="left"/>
        <w:rPr>
          <w:rFonts w:ascii="Arial" w:eastAsia="宋体" w:hAnsi="Arial" w:cs="Arial"/>
          <w:b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lastRenderedPageBreak/>
        <w:t>[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>5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]Analysis of the maximum residue limits of pesticides in fruits according</w:t>
      </w:r>
      <w:r w:rsidR="001D07F2"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 xml:space="preserve"> 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to GB 2763—2021</w:t>
      </w:r>
    </w:p>
    <w:p w:rsidR="009C7C3B" w:rsidRDefault="00C668B5">
      <w:pPr>
        <w:widowControl/>
        <w:shd w:val="clear" w:color="auto" w:fill="FFFFFF"/>
        <w:wordWrap w:val="0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Journal of Fruit Science</w:t>
      </w:r>
    </w:p>
    <w:p w:rsidR="009C7C3B" w:rsidRDefault="00C668B5">
      <w:pPr>
        <w:widowControl/>
        <w:shd w:val="clear" w:color="auto" w:fill="FFFFFF"/>
        <w:wordWrap w:val="0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2023|Journal Article</w:t>
      </w:r>
    </w:p>
    <w:p w:rsidR="009C7C3B" w:rsidRDefault="00C668B5">
      <w:pPr>
        <w:widowControl/>
        <w:shd w:val="clear" w:color="auto" w:fill="FFFFFF"/>
        <w:wordWrap w:val="0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color w:val="222222"/>
          <w:kern w:val="0"/>
          <w:sz w:val="23"/>
          <w:szCs w:val="23"/>
        </w:rPr>
        <w:t>DOI:10.13925/j.cnki.gsxb.20220329</w:t>
      </w:r>
    </w:p>
    <w:p w:rsidR="00760A23" w:rsidRPr="00760A23" w:rsidRDefault="00760A23" w:rsidP="00760A23">
      <w:pPr>
        <w:widowControl/>
        <w:shd w:val="clear" w:color="auto" w:fill="FFFFFF"/>
        <w:spacing w:beforeLines="50" w:line="369" w:lineRule="atLeast"/>
        <w:jc w:val="left"/>
        <w:rPr>
          <w:rFonts w:ascii="Arial" w:eastAsia="宋体" w:hAnsi="Arial" w:cs="Arial"/>
          <w:b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[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>6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]</w:t>
      </w:r>
      <w:r w:rsidRPr="00760A23">
        <w:rPr>
          <w:rFonts w:ascii="Arial" w:eastAsia="宋体" w:hAnsi="Arial" w:cs="Arial"/>
          <w:b/>
          <w:color w:val="222222"/>
          <w:kern w:val="0"/>
          <w:sz w:val="23"/>
          <w:szCs w:val="23"/>
        </w:rPr>
        <w:t xml:space="preserve">Development and validation of a method for the analysis of trifludimoxazin, picarbutrazox and pyraziflumid residues in cereals, vegetables and fruits using ultra-performance liquid chromatography/tandem mass spectrometry. </w:t>
      </w:r>
    </w:p>
    <w:p w:rsidR="00760A23" w:rsidRPr="00760A23" w:rsidRDefault="00760A23" w:rsidP="00760A23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760A23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Microchemical Journal, </w:t>
      </w:r>
    </w:p>
    <w:p w:rsidR="00760A23" w:rsidRPr="00760A23" w:rsidRDefault="00760A23" w:rsidP="00760A23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760A23">
        <w:rPr>
          <w:rFonts w:ascii="Arial" w:eastAsia="宋体" w:hAnsi="Arial" w:cs="Arial"/>
          <w:color w:val="222222"/>
          <w:kern w:val="0"/>
          <w:sz w:val="23"/>
          <w:szCs w:val="23"/>
        </w:rPr>
        <w:t>2021 |Journal Article</w:t>
      </w:r>
    </w:p>
    <w:p w:rsidR="00760A23" w:rsidRPr="00760A23" w:rsidRDefault="00760A23" w:rsidP="00760A23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 w:hint="eastAsia"/>
          <w:color w:val="222222"/>
          <w:kern w:val="0"/>
          <w:sz w:val="23"/>
          <w:szCs w:val="23"/>
        </w:rPr>
      </w:pPr>
      <w:r w:rsidRPr="00760A23">
        <w:rPr>
          <w:rFonts w:ascii="Arial" w:eastAsia="宋体" w:hAnsi="Arial" w:cs="Arial"/>
          <w:color w:val="222222"/>
          <w:kern w:val="0"/>
          <w:sz w:val="23"/>
          <w:szCs w:val="23"/>
        </w:rPr>
        <w:t>DOI: 10.1016/j.microc.2021.106477</w:t>
      </w:r>
    </w:p>
    <w:p w:rsidR="00760A23" w:rsidRPr="00760A23" w:rsidRDefault="00760A23" w:rsidP="00760A23">
      <w:pPr>
        <w:widowControl/>
        <w:shd w:val="clear" w:color="auto" w:fill="FFFFFF"/>
        <w:spacing w:beforeLines="50" w:line="369" w:lineRule="atLeast"/>
        <w:jc w:val="left"/>
        <w:rPr>
          <w:rFonts w:ascii="Arial" w:eastAsia="宋体" w:hAnsi="Arial" w:cs="Arial"/>
          <w:b/>
          <w:color w:val="222222"/>
          <w:kern w:val="0"/>
          <w:sz w:val="23"/>
          <w:szCs w:val="23"/>
        </w:rPr>
      </w:pP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[</w:t>
      </w:r>
      <w:r>
        <w:rPr>
          <w:rFonts w:ascii="Arial" w:eastAsia="宋体" w:hAnsi="Arial" w:cs="Arial" w:hint="eastAsia"/>
          <w:b/>
          <w:color w:val="222222"/>
          <w:kern w:val="0"/>
          <w:sz w:val="23"/>
          <w:szCs w:val="23"/>
        </w:rPr>
        <w:t>7</w:t>
      </w:r>
      <w:r>
        <w:rPr>
          <w:rFonts w:ascii="Arial" w:eastAsia="宋体" w:hAnsi="Arial" w:cs="Arial"/>
          <w:b/>
          <w:color w:val="222222"/>
          <w:kern w:val="0"/>
          <w:sz w:val="23"/>
          <w:szCs w:val="23"/>
        </w:rPr>
        <w:t>]</w:t>
      </w:r>
      <w:r w:rsidRPr="00760A23">
        <w:rPr>
          <w:rFonts w:ascii="Arial" w:eastAsia="宋体" w:hAnsi="Arial" w:cs="Arial"/>
          <w:b/>
          <w:color w:val="222222"/>
          <w:kern w:val="0"/>
          <w:sz w:val="23"/>
          <w:szCs w:val="23"/>
        </w:rPr>
        <w:t>Simultaneous determination of spirodiclofen, spiromesifen, and spirotetramat and their relevant metabolites in edible fungi using ultra</w:t>
      </w:r>
      <w:r w:rsidRPr="00760A23">
        <w:rPr>
          <w:rFonts w:ascii="Arial" w:eastAsia="宋体" w:hAnsi="Arial" w:cs="Arial"/>
          <w:b/>
          <w:color w:val="222222"/>
          <w:kern w:val="0"/>
          <w:sz w:val="23"/>
          <w:szCs w:val="23"/>
        </w:rPr>
        <w:noBreakHyphen/>
        <w:t xml:space="preserve">performance liquid chromatography/tandem mass spectrometry. </w:t>
      </w:r>
    </w:p>
    <w:p w:rsidR="00760A23" w:rsidRPr="00760A23" w:rsidRDefault="00760A23" w:rsidP="00760A23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760A23">
        <w:rPr>
          <w:rFonts w:ascii="Arial" w:eastAsia="宋体" w:hAnsi="Arial" w:cs="Arial"/>
          <w:color w:val="222222"/>
          <w:kern w:val="0"/>
          <w:sz w:val="23"/>
          <w:szCs w:val="23"/>
        </w:rPr>
        <w:t>Scientific Reports</w:t>
      </w:r>
    </w:p>
    <w:p w:rsidR="00760A23" w:rsidRPr="00760A23" w:rsidRDefault="00760A23" w:rsidP="00760A23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760A23">
        <w:rPr>
          <w:rFonts w:ascii="Arial" w:eastAsia="宋体" w:hAnsi="Arial" w:cs="Arial"/>
          <w:color w:val="222222"/>
          <w:kern w:val="0"/>
          <w:sz w:val="23"/>
          <w:szCs w:val="23"/>
        </w:rPr>
        <w:t>2021|Journal Article</w:t>
      </w:r>
    </w:p>
    <w:p w:rsidR="00760A23" w:rsidRPr="00760A23" w:rsidRDefault="00760A23" w:rsidP="00760A23">
      <w:pPr>
        <w:widowControl/>
        <w:shd w:val="clear" w:color="auto" w:fill="FFFFFF"/>
        <w:spacing w:line="369" w:lineRule="atLeast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760A23">
        <w:rPr>
          <w:rFonts w:ascii="Arial" w:eastAsia="宋体" w:hAnsi="Arial" w:cs="Arial"/>
          <w:color w:val="222222"/>
          <w:kern w:val="0"/>
          <w:sz w:val="23"/>
          <w:szCs w:val="23"/>
        </w:rPr>
        <w:t>DOI: 10.1038/s41598-021-81013-0</w:t>
      </w:r>
    </w:p>
    <w:sectPr w:rsidR="00760A23" w:rsidRPr="00760A23" w:rsidSect="009C7C3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406" w:rsidRDefault="003C0406" w:rsidP="006E2492">
      <w:r>
        <w:separator/>
      </w:r>
    </w:p>
  </w:endnote>
  <w:endnote w:type="continuationSeparator" w:id="1">
    <w:p w:rsidR="003C0406" w:rsidRDefault="003C0406" w:rsidP="006E2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406" w:rsidRDefault="003C0406" w:rsidP="006E2492">
      <w:r>
        <w:separator/>
      </w:r>
    </w:p>
  </w:footnote>
  <w:footnote w:type="continuationSeparator" w:id="1">
    <w:p w:rsidR="003C0406" w:rsidRDefault="003C0406" w:rsidP="006E2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C88"/>
    <w:multiLevelType w:val="hybridMultilevel"/>
    <w:tmpl w:val="042C7E64"/>
    <w:lvl w:ilvl="0" w:tplc="1F101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CD5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AE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82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8C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A9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AD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A8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89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952F44"/>
    <w:multiLevelType w:val="hybridMultilevel"/>
    <w:tmpl w:val="042C7E64"/>
    <w:lvl w:ilvl="0" w:tplc="1F101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CD5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AE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82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8C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A9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AD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A8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89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4NGJmNDk5NTFjMTdlY2M0NjY2YTMwMjU4YmM5YjMifQ=="/>
  </w:docVars>
  <w:rsids>
    <w:rsidRoot w:val="00873065"/>
    <w:rsid w:val="00161890"/>
    <w:rsid w:val="001D07F2"/>
    <w:rsid w:val="001E1A4E"/>
    <w:rsid w:val="00296B16"/>
    <w:rsid w:val="003C0406"/>
    <w:rsid w:val="003D52FC"/>
    <w:rsid w:val="003E09B8"/>
    <w:rsid w:val="003F0198"/>
    <w:rsid w:val="00511866"/>
    <w:rsid w:val="0066084A"/>
    <w:rsid w:val="006E2492"/>
    <w:rsid w:val="00701DC0"/>
    <w:rsid w:val="00760A23"/>
    <w:rsid w:val="007D1D0A"/>
    <w:rsid w:val="007E2F53"/>
    <w:rsid w:val="00873065"/>
    <w:rsid w:val="009C7C3B"/>
    <w:rsid w:val="00B8796A"/>
    <w:rsid w:val="00BD6F54"/>
    <w:rsid w:val="00BF45B0"/>
    <w:rsid w:val="00C34411"/>
    <w:rsid w:val="00C668B5"/>
    <w:rsid w:val="00CC2D67"/>
    <w:rsid w:val="00D32AB6"/>
    <w:rsid w:val="00D7455E"/>
    <w:rsid w:val="00E327BA"/>
    <w:rsid w:val="00F2280C"/>
    <w:rsid w:val="00F34CDC"/>
    <w:rsid w:val="148C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3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9C7C3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7C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C7C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C7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C7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9C7C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9C7C3B"/>
    <w:rPr>
      <w:i/>
      <w:iCs/>
    </w:rPr>
  </w:style>
  <w:style w:type="character" w:styleId="a8">
    <w:name w:val="Hyperlink"/>
    <w:basedOn w:val="a0"/>
    <w:uiPriority w:val="99"/>
    <w:semiHidden/>
    <w:unhideWhenUsed/>
    <w:qFormat/>
    <w:rsid w:val="009C7C3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9C7C3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C3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C7C3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qFormat/>
    <w:rsid w:val="009C7C3B"/>
    <w:rPr>
      <w:b/>
      <w:bCs/>
      <w:sz w:val="32"/>
      <w:szCs w:val="32"/>
    </w:rPr>
  </w:style>
  <w:style w:type="character" w:customStyle="1" w:styleId="pc-item">
    <w:name w:val="pc-item"/>
    <w:basedOn w:val="a0"/>
    <w:qFormat/>
    <w:rsid w:val="009C7C3B"/>
  </w:style>
  <w:style w:type="character" w:customStyle="1" w:styleId="Char">
    <w:name w:val="批注框文本 Char"/>
    <w:basedOn w:val="a0"/>
    <w:link w:val="a3"/>
    <w:uiPriority w:val="99"/>
    <w:semiHidden/>
    <w:qFormat/>
    <w:rsid w:val="009C7C3B"/>
    <w:rPr>
      <w:sz w:val="18"/>
      <w:szCs w:val="18"/>
    </w:rPr>
  </w:style>
  <w:style w:type="paragraph" w:customStyle="1" w:styleId="src">
    <w:name w:val="src"/>
    <w:basedOn w:val="a"/>
    <w:rsid w:val="00760A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1534</Characters>
  <Application>Microsoft Office Word</Application>
  <DocSecurity>0</DocSecurity>
  <Lines>12</Lines>
  <Paragraphs>3</Paragraphs>
  <ScaleCrop>false</ScaleCrop>
  <Company>china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13</cp:revision>
  <dcterms:created xsi:type="dcterms:W3CDTF">2023-04-26T02:50:00Z</dcterms:created>
  <dcterms:modified xsi:type="dcterms:W3CDTF">2023-05-05T02:10:00Z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822FDC245722431B98ECCAF0BA705115_12</vt:lpwstr>
  </property>
</Properties>
</file>