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Cheng Dawei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red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associate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chengdawei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65330948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6"/>
        <w:ind w:left="0" w:leftChars="0" w:firstLine="0" w:firstLineChars="0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Plant technology promotion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2A2B2E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  <w:r>
        <w:rPr>
          <w:rFonts w:hint="default" w:ascii="Segoe UI" w:hAnsi="Segoe UI" w:eastAsia="Segoe UI" w:cs="Segoe UI"/>
          <w:i w:val="0"/>
          <w:iCs w:val="0"/>
          <w:caps w:val="0"/>
          <w:color w:val="2B77C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2B77C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2B77C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color w:val="2B77C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Influence of different floral cluster pruning methods on fruit quality of‘Zhengyan wuhe’grape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China Fruits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2020∣Journal Article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DOI:10.16626/j.cnki.issn1000-8047.2020.04.004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Influence of GA3 and TDZ on fruit quality of‘Hongyan Wuhe’grape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Journal of Fruit Science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2020∣Journal Article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DOI:10.13925/j.cnki.gsxb.20200349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2"/>
          <w:szCs w:val="22"/>
          <w:lang w:val="zh-TW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zh-TW" w:eastAsia="zh-CN"/>
        </w:rPr>
        <w:t>Difference and Comprehensive Evaluation of Fruit Nutritional Quality of Different Grape Varieties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zh-TW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Acta Agriculturae Jiangxi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2020∣Journal Article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DOI:10.19386/j.cnki.jxnyxb.2020.10.14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Effects of Different Biostimulant Treatments on Fruit Quality of ‘Shine Muscat’ Grape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Northern Horticulture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2022∣Journal Article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1"/>
          <w:szCs w:val="21"/>
          <w:lang w:val="en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DOI:10.11937/bfyy.20222233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75D2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2023-05-31T07:43:56Z</dcterms:created>
  <dc:creator>Administrator</dc:creator>
  <cp:lastModifiedBy>MCHI</cp:lastModifiedBy>
  <dcterms:modified xsi:type="dcterms:W3CDTF">2023-05-31T07:44:07Z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9FDA6FADFBC74B19ACB08C2E55A900A6_12</vt:lpwstr>
  </property>
</Properties>
</file>