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Li Lan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red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associate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lilan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65330948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Study on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multi-layer vertical cultivation mode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Influences of two plant growth regulators on the fruit quality of the ‘Crimson Seedless’ grapes</w:t>
      </w:r>
    </w:p>
    <w:p>
      <w:pPr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Journal of Plant Growth Regulation</w:t>
      </w:r>
    </w:p>
    <w:p>
      <w:pPr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2022∣Journal Article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DOI:10.1007/s00344-022-10585-6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  <w:t xml:space="preserve">Synergistic effects of chromium and copper on photosynthetic inhibition, subcellular distribution, and related gene expression in </w:t>
      </w:r>
      <w:r>
        <w:rPr>
          <w:rFonts w:hint="default" w:ascii="Times New Roman" w:hAnsi="Times New Roman" w:eastAsia="宋体" w:cs="Times New Roman"/>
          <w:b/>
          <w:bCs/>
          <w:i/>
          <w:kern w:val="0"/>
          <w:sz w:val="21"/>
          <w:szCs w:val="21"/>
          <w:lang w:val="en"/>
        </w:rPr>
        <w:t>Brassica napus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  <w:t xml:space="preserve"> cultivars</w:t>
      </w:r>
    </w:p>
    <w:p>
      <w:pPr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Environmental Science and Pollution Research</w:t>
      </w:r>
    </w:p>
    <w:p>
      <w:pPr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2019∣Journal Article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  <w:t>DOI:10.1007/s11356-019-04450-5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  <w:t xml:space="preserve">Ecotoxicological and interactive effects of copper and chromium on physiochemical, ultrastructural, and molecular profiling in </w:t>
      </w:r>
      <w:r>
        <w:rPr>
          <w:rFonts w:hint="default" w:ascii="Times New Roman" w:hAnsi="Times New Roman" w:eastAsia="宋体" w:cs="Times New Roman"/>
          <w:b/>
          <w:bCs/>
          <w:i/>
          <w:kern w:val="0"/>
          <w:sz w:val="21"/>
          <w:szCs w:val="21"/>
          <w:lang w:val="en"/>
        </w:rPr>
        <w:t>Brassica napus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"/>
        </w:rPr>
        <w:t xml:space="preserve"> L.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  <w:t>BioMed Research International</w:t>
      </w:r>
    </w:p>
    <w:p>
      <w:pPr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2018∣Journal Article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"/>
        </w:rPr>
        <w:t>DOI:10.1155/2018/9248123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322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2023-05-31T07:43:22Z</dcterms:created>
  <dc:creator>Administrator</dc:creator>
  <cp:lastModifiedBy>MCHI</cp:lastModifiedBy>
  <dcterms:modified xsi:type="dcterms:W3CDTF">2023-05-31T07:43:34Z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EA57B7796032441090DF70836489C377_12</vt:lpwstr>
  </property>
</Properties>
</file>