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Qi Xiujuan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Professor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Ph.D.Supervisor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qixiujuan@caas.cn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86-371-55906990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6"/>
        <w:ind w:left="0" w:leftChars="0" w:firstLine="0" w:firstLineChars="0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Germplasm resources and genetic breeding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Characterization and Identification of a Ripening-Related Gene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AaPG18 in 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>Actinidia arguta</w:t>
      </w:r>
    </w:p>
    <w:p>
      <w:pPr>
        <w:pStyle w:val="6"/>
        <w:ind w:left="0" w:leftChars="0" w:firstLine="0" w:firstLineChars="0"/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International Journal of Molecular Sciences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2022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 xml:space="preserve"> ǀ Journal Article</w:t>
      </w:r>
    </w:p>
    <w:p>
      <w:pPr>
        <w:pStyle w:val="6"/>
        <w:ind w:left="0" w:leftChars="0" w:firstLine="0" w:firstLineChars="0"/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 xml:space="preserve">DOI: 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10.3390/ijms23052597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Novel Role of AaMYBC1 in Regulating Actinidia arguta Vine Architecture by Elongating Internode Based on Multi-Omics Analysis of Transgenic Tobacco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Genes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2022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 xml:space="preserve"> ǀ Journal Article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 xml:space="preserve">DOI: 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10.3390/genes13050817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Comparative Transcriptome Analysis of Different Actinidia arguta Fruit Parts Reveals Difference of Light Response during Fruit Coloration</w:t>
      </w:r>
    </w:p>
    <w:p>
      <w:pP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Biology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 xml:space="preserve"> ǀ Journal Article</w:t>
      </w:r>
    </w:p>
    <w:p>
      <w:pP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 xml:space="preserve">DOI: 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-SA"/>
        </w:rPr>
        <w:t>10.3390/biology10070648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BSR-Seq analysis provides insights into the cold stress response of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 xml:space="preserve"> Actinidia arguta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F1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populations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BMC genomics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 xml:space="preserve"> ǀ Journal Article</w:t>
      </w:r>
    </w:p>
    <w:p>
      <w:pP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DOI: 10.1186/s12864-021-07369-9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605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2023-05-31T07:25:32Z</dcterms:created>
  <dc:creator>Administrator</dc:creator>
  <cp:lastModifiedBy>MCHI</cp:lastModifiedBy>
  <dcterms:modified xsi:type="dcterms:W3CDTF">2023-05-31T07:25:46Z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D2CDB2C69F55455482DB09D62E37EDE7_12</vt:lpwstr>
  </property>
</Properties>
</file>