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Chen Jinyong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P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rofessor</w:t>
      </w:r>
    </w:p>
    <w:p>
      <w:pPr>
        <w:pStyle w:val="6"/>
        <w:ind w:left="0" w:leftChars="0" w:firstLine="0" w:firstLineChars="0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M.sc Supervisor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chenjinyong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65330948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Study on cultivation technique study and Industrial promotion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Overexpression of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>AcEXPA23</w:t>
      </w:r>
      <w:r>
        <w:rPr>
          <w:rFonts w:hint="eastAsia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Promotes Lateral Root Development in Kiwifruit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2022|Journal Article</w:t>
      </w:r>
    </w:p>
    <w:p>
      <w:pPr>
        <w:numPr>
          <w:ilvl w:val="0"/>
          <w:numId w:val="0"/>
        </w:numPr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International Journal of Molecular Sciences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DOI:10.3390/ijms23148026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>AvNAC030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, a NAC Domain Transcription Factor, Enhances Salt Stress Tolerance in Kiwifruit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International Journal of Molecular Sciences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2021|Journal Article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2"/>
          <w:szCs w:val="22"/>
          <w:lang w:val="en-US" w:eastAsia="zh-CN" w:bidi="ar-SA"/>
        </w:rPr>
        <w:t>DOI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2"/>
          <w:szCs w:val="22"/>
          <w:lang w:val="en-US" w:eastAsia="zh-CN" w:bidi="ar-SA"/>
        </w:rPr>
        <w:t>10.3390/ijms222111897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Influences of two plant growth regulators on the fruit quality of the ‘Crimson Seedless’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grapes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Journal of Plant Growth Regulation</w:t>
      </w:r>
    </w:p>
    <w:p>
      <w:pPr>
        <w:jc w:val="both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2022∣Journal Article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DOI:10.1007/s00344-022-10585-6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533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2023-05-31T07:33:53Z</dcterms:created>
  <dc:creator>Administrator</dc:creator>
  <cp:lastModifiedBy>MCHI</cp:lastModifiedBy>
  <dcterms:modified xsi:type="dcterms:W3CDTF">2023-05-31T07:34:11Z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9CF1D995ECAD4F6BA9F2D5BAED672A0A_12</vt:lpwstr>
  </property>
</Properties>
</file>